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2FD6C"/>
    <w:p w14:paraId="37010696">
      <w:pPr>
        <w:jc w:val="center"/>
        <w:rPr>
          <w:rFonts w:ascii="Calibri" w:hAnsi="Calibri" w:eastAsia="黑体" w:cs="Times New Roman"/>
          <w:sz w:val="44"/>
          <w:szCs w:val="44"/>
        </w:rPr>
      </w:pPr>
      <w:r>
        <w:rPr>
          <w:rFonts w:hint="eastAsia" w:ascii="Calibri" w:hAnsi="Calibri" w:eastAsia="黑体" w:cs="Times New Roman"/>
          <w:sz w:val="44"/>
          <w:szCs w:val="44"/>
        </w:rPr>
        <w:t>石油产品针（锥）入度测定仪</w:t>
      </w:r>
    </w:p>
    <w:p w14:paraId="672876B8">
      <w:pPr>
        <w:jc w:val="center"/>
        <w:rPr>
          <w:rFonts w:ascii="Calibri" w:hAnsi="Calibri" w:eastAsia="黑体" w:cs="Times New Roman"/>
          <w:sz w:val="44"/>
          <w:szCs w:val="44"/>
        </w:rPr>
      </w:pPr>
      <w:r>
        <w:rPr>
          <w:rFonts w:hint="eastAsia" w:ascii="Calibri" w:hAnsi="Calibri" w:eastAsia="黑体" w:cs="Times New Roman"/>
          <w:sz w:val="44"/>
          <w:szCs w:val="44"/>
        </w:rPr>
        <w:t>校准规范编写说明</w:t>
      </w:r>
    </w:p>
    <w:p w14:paraId="61306D42">
      <w:pPr>
        <w:spacing w:line="360" w:lineRule="auto"/>
        <w:rPr>
          <w:rFonts w:ascii="Arial" w:hAnsi="Arial" w:cs="Arial"/>
          <w:b/>
          <w:sz w:val="28"/>
          <w:szCs w:val="28"/>
        </w:rPr>
      </w:pPr>
      <w:r>
        <w:rPr>
          <w:rFonts w:ascii="Arial" w:hAnsi="宋体" w:cs="Arial"/>
          <w:b/>
          <w:sz w:val="28"/>
          <w:szCs w:val="28"/>
        </w:rPr>
        <w:t>一、任务来源</w:t>
      </w:r>
    </w:p>
    <w:p w14:paraId="25E6A48A">
      <w:pPr>
        <w:autoSpaceDE w:val="0"/>
        <w:autoSpaceDN w:val="0"/>
        <w:adjustRightInd w:val="0"/>
        <w:spacing w:line="500" w:lineRule="exact"/>
        <w:ind w:firstLine="480" w:firstLineChars="200"/>
        <w:rPr>
          <w:rFonts w:ascii="Times New Roman" w:hAnsi="Times New Roman" w:cs="Times New Roman"/>
          <w:sz w:val="24"/>
        </w:rPr>
      </w:pPr>
      <w:r>
        <w:rPr>
          <w:rFonts w:hint="eastAsia" w:ascii="宋体" w:cs="宋体"/>
          <w:color w:val="000000"/>
          <w:kern w:val="0"/>
          <w:sz w:val="24"/>
        </w:rPr>
        <w:t>根据国家市场监督</w:t>
      </w:r>
      <w:r>
        <w:rPr>
          <w:rFonts w:ascii="宋体" w:cs="宋体"/>
          <w:color w:val="000000"/>
          <w:kern w:val="0"/>
          <w:sz w:val="24"/>
        </w:rPr>
        <w:t>管理总局</w:t>
      </w:r>
      <w:r>
        <w:rPr>
          <w:rFonts w:hint="eastAsia" w:ascii="宋体" w:cs="宋体"/>
          <w:color w:val="000000"/>
          <w:kern w:val="0"/>
          <w:sz w:val="24"/>
        </w:rPr>
        <w:t>办公</w:t>
      </w:r>
      <w:r>
        <w:rPr>
          <w:rFonts w:ascii="宋体" w:cs="宋体"/>
          <w:color w:val="000000"/>
          <w:kern w:val="0"/>
          <w:sz w:val="24"/>
        </w:rPr>
        <w:t>厅</w:t>
      </w:r>
      <w:r>
        <w:rPr>
          <w:rFonts w:hint="eastAsia" w:ascii="宋体" w:cs="宋体"/>
          <w:color w:val="000000"/>
          <w:kern w:val="0"/>
          <w:sz w:val="24"/>
        </w:rPr>
        <w:t>文件《市场监管总局办公厅关于印发2024年国家计量技术规范制定、修订及宣贯计划的通知》要求，</w:t>
      </w:r>
      <w:r>
        <w:rPr>
          <w:rFonts w:hint="eastAsia" w:ascii="Times New Roman" w:hAnsi="Times New Roman" w:cs="Times New Roman"/>
          <w:sz w:val="24"/>
        </w:rPr>
        <w:t>《石油产品针入度测定仪校准规范》</w:t>
      </w:r>
      <w:r>
        <w:rPr>
          <w:rFonts w:hint="eastAsia" w:ascii="宋体" w:cs="宋体"/>
          <w:color w:val="000000"/>
          <w:kern w:val="0"/>
          <w:sz w:val="24"/>
        </w:rPr>
        <w:t>列入2024年国家</w:t>
      </w:r>
      <w:r>
        <w:rPr>
          <w:rFonts w:ascii="宋体" w:cs="宋体"/>
          <w:color w:val="000000"/>
          <w:kern w:val="0"/>
          <w:sz w:val="24"/>
        </w:rPr>
        <w:t>计量</w:t>
      </w:r>
      <w:r>
        <w:rPr>
          <w:rFonts w:hint="eastAsia" w:ascii="宋体" w:cs="宋体"/>
          <w:color w:val="000000"/>
          <w:kern w:val="0"/>
          <w:sz w:val="24"/>
        </w:rPr>
        <w:t>技术</w:t>
      </w:r>
      <w:r>
        <w:rPr>
          <w:rFonts w:ascii="宋体" w:cs="宋体"/>
          <w:color w:val="000000"/>
          <w:kern w:val="0"/>
          <w:sz w:val="24"/>
        </w:rPr>
        <w:t>规范</w:t>
      </w:r>
      <w:r>
        <w:rPr>
          <w:rFonts w:hint="eastAsia" w:ascii="宋体" w:cs="宋体"/>
          <w:color w:val="000000"/>
          <w:kern w:val="0"/>
          <w:sz w:val="24"/>
        </w:rPr>
        <w:t>项目</w:t>
      </w:r>
      <w:r>
        <w:rPr>
          <w:rFonts w:ascii="宋体" w:cs="宋体"/>
          <w:color w:val="000000"/>
          <w:kern w:val="0"/>
          <w:sz w:val="24"/>
        </w:rPr>
        <w:t>制定计划</w:t>
      </w:r>
      <w:r>
        <w:rPr>
          <w:rFonts w:hint="eastAsia" w:ascii="宋体" w:cs="宋体"/>
          <w:color w:val="000000"/>
          <w:kern w:val="0"/>
          <w:sz w:val="24"/>
        </w:rPr>
        <w:t>（计划项目编号：MTC42－2024－04）</w:t>
      </w:r>
      <w:r>
        <w:rPr>
          <w:rFonts w:ascii="宋体" w:cs="宋体"/>
          <w:color w:val="000000"/>
          <w:kern w:val="0"/>
          <w:sz w:val="24"/>
        </w:rPr>
        <w:t>，</w:t>
      </w:r>
      <w:r>
        <w:rPr>
          <w:rFonts w:hint="eastAsia" w:ascii="宋体" w:cs="宋体"/>
          <w:color w:val="000000"/>
          <w:kern w:val="0"/>
          <w:sz w:val="24"/>
        </w:rPr>
        <w:t>《</w:t>
      </w:r>
      <w:r>
        <w:rPr>
          <w:rFonts w:hint="eastAsia" w:ascii="Times New Roman" w:hAnsi="Times New Roman" w:cs="Times New Roman"/>
          <w:sz w:val="24"/>
        </w:rPr>
        <w:t>石油产品针入度测定仪校准规范</w:t>
      </w:r>
      <w:r>
        <w:rPr>
          <w:rFonts w:hint="eastAsia" w:ascii="宋体" w:cs="宋体"/>
          <w:color w:val="000000"/>
          <w:kern w:val="0"/>
          <w:sz w:val="24"/>
        </w:rPr>
        <w:t>》的</w:t>
      </w:r>
      <w:r>
        <w:rPr>
          <w:rFonts w:ascii="宋体" w:cs="宋体"/>
          <w:color w:val="000000"/>
          <w:kern w:val="0"/>
          <w:sz w:val="24"/>
        </w:rPr>
        <w:t>制定</w:t>
      </w:r>
      <w:r>
        <w:rPr>
          <w:rFonts w:hint="eastAsia" w:ascii="宋体" w:cs="宋体"/>
          <w:color w:val="000000"/>
          <w:kern w:val="0"/>
          <w:sz w:val="24"/>
        </w:rPr>
        <w:t>工作在全国石油专用计量测试技术委员会（MTC42）指导</w:t>
      </w:r>
      <w:r>
        <w:rPr>
          <w:rFonts w:ascii="宋体" w:cs="宋体"/>
          <w:color w:val="000000"/>
          <w:kern w:val="0"/>
          <w:sz w:val="24"/>
        </w:rPr>
        <w:t>下，</w:t>
      </w:r>
      <w:r>
        <w:rPr>
          <w:rFonts w:hint="eastAsia" w:ascii="宋体" w:cs="宋体"/>
          <w:color w:val="000000"/>
          <w:kern w:val="0"/>
          <w:sz w:val="24"/>
        </w:rPr>
        <w:t>由辽宁省计量科学研究院、中国计量科学研究院、中国石油化工股份有限公司胜利油田分公司负责制定</w:t>
      </w:r>
      <w:r>
        <w:rPr>
          <w:rFonts w:ascii="宋体" w:cs="宋体"/>
          <w:color w:val="000000"/>
          <w:kern w:val="0"/>
          <w:sz w:val="24"/>
        </w:rPr>
        <w:t>工作，</w:t>
      </w:r>
      <w:r>
        <w:rPr>
          <w:rFonts w:hint="eastAsia" w:ascii="宋体" w:cs="宋体"/>
          <w:color w:val="000000"/>
          <w:kern w:val="0"/>
          <w:sz w:val="24"/>
        </w:rPr>
        <w:t>计划报批时间为20</w:t>
      </w:r>
      <w:r>
        <w:rPr>
          <w:rFonts w:ascii="宋体" w:cs="宋体"/>
          <w:color w:val="000000"/>
          <w:kern w:val="0"/>
          <w:sz w:val="24"/>
        </w:rPr>
        <w:t>2</w:t>
      </w:r>
      <w:r>
        <w:rPr>
          <w:rFonts w:hint="eastAsia" w:ascii="宋体" w:cs="宋体"/>
          <w:color w:val="000000"/>
          <w:kern w:val="0"/>
          <w:sz w:val="24"/>
        </w:rPr>
        <w:t>6年5月。</w:t>
      </w:r>
    </w:p>
    <w:p w14:paraId="2D094CBE">
      <w:pPr>
        <w:spacing w:line="360" w:lineRule="auto"/>
        <w:rPr>
          <w:rFonts w:ascii="Arial" w:hAnsi="宋体" w:cs="Arial"/>
          <w:b/>
          <w:sz w:val="28"/>
          <w:szCs w:val="28"/>
        </w:rPr>
      </w:pPr>
      <w:r>
        <w:rPr>
          <w:rFonts w:hint="eastAsia" w:ascii="Arial" w:hAnsi="宋体" w:cs="Arial"/>
          <w:b/>
          <w:sz w:val="28"/>
          <w:szCs w:val="28"/>
        </w:rPr>
        <w:t>二、规范制定的必要性</w:t>
      </w:r>
    </w:p>
    <w:p w14:paraId="51732967">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石油蜡针入度测定仪主要用于测量石油蜡的针入度，是按GB/T4985-2021《石油蜡针入度测定法》检测石油蜡针入度的专用仪器。石油蜡针入度是指在规定的试验条件下标准针刺入试样的深度，并以此表征石蜡的硬度，是石蜡在工业应用中一项重要性能指标。我国石蜡基原油在原油中占比较高，同时也是世界石蜡资源生产、出口和消费大国。近年来，随着石油化工产业的发展及国家的“双碳”战略的实施，石化企业等更加关注碳循环和再生资源的使用，各类相关企业为了进行石油蜡针入度的测定大都增加了石油蜡针入度测定仪。2021年辽宁省计量科学研究院起草了JJF（辽）509-2021《石油蜡针入度测定仪校准规范》，解决了该仪器校准的缺少技术依据的问题，主要依据GB/T4985-2010《石油蜡针入度测定法》编写，2022年，国家市场监督管理总局发布了GB/T4985-2021《石油蜡针入度测定法》，替代了GB/T4985-2010《石油蜡针入度测定法》，GB/T4985-2021《石油蜡针入度测定法》与老版标准相比，有较大变化，由于国家没有石油蜡针入度仪的校准规范，导致该仪器的性能无法评价，量值无法溯源，测量准确性无法保证，因此，制定石油蜡针入度测定仪校准规范具有重要意义，填补了国内空白。</w:t>
      </w:r>
    </w:p>
    <w:p w14:paraId="6EAA962B">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国内外关于石油蜡针入度测定仪的使用由来已久，但多年来缺乏相应的计量校准规范，为石油蜡针入度测定仪的溯源带来一定的阻碍，难以保障石油蜡针入度试验的有效溯源。因此急需通过制定计量校准规范，保障该类仪器计量溯源准确可靠</w:t>
      </w:r>
      <w:r>
        <w:rPr>
          <w:rFonts w:ascii="Times New Roman" w:hAnsi="Times New Roman" w:cs="Times New Roman"/>
          <w:sz w:val="24"/>
        </w:rPr>
        <w:t>。</w:t>
      </w:r>
    </w:p>
    <w:p w14:paraId="3A8E526C">
      <w:pPr>
        <w:rPr>
          <w:rFonts w:ascii="黑体" w:hAnsi="黑体" w:eastAsia="黑体"/>
          <w:sz w:val="28"/>
          <w:szCs w:val="28"/>
        </w:rPr>
      </w:pPr>
      <w:r>
        <w:rPr>
          <w:rFonts w:hint="eastAsia" w:ascii="黑体" w:hAnsi="黑体" w:eastAsia="黑体"/>
          <w:sz w:val="28"/>
          <w:szCs w:val="28"/>
        </w:rPr>
        <w:t>3  规范</w:t>
      </w:r>
      <w:r>
        <w:rPr>
          <w:rFonts w:ascii="黑体" w:hAnsi="黑体" w:eastAsia="黑体"/>
          <w:sz w:val="28"/>
          <w:szCs w:val="28"/>
        </w:rPr>
        <w:t>制定过程</w:t>
      </w:r>
    </w:p>
    <w:p w14:paraId="0DDF7920">
      <w:pPr>
        <w:spacing w:line="360" w:lineRule="auto"/>
        <w:ind w:firstLine="480" w:firstLineChars="200"/>
        <w:rPr>
          <w:rFonts w:ascii="Times New Roman" w:hAnsi="Times New Roman" w:cs="Times New Roman"/>
          <w:sz w:val="24"/>
        </w:rPr>
      </w:pPr>
      <w:r>
        <w:rPr>
          <w:rFonts w:ascii="Times New Roman" w:hAnsi="Times New Roman" w:cs="Times New Roman"/>
          <w:sz w:val="24"/>
        </w:rPr>
        <w:t>1、20</w:t>
      </w:r>
      <w:r>
        <w:rPr>
          <w:rFonts w:hint="eastAsia" w:ascii="Times New Roman" w:hAnsi="Times New Roman" w:cs="Times New Roman"/>
          <w:sz w:val="24"/>
        </w:rPr>
        <w:t>24</w:t>
      </w:r>
      <w:r>
        <w:rPr>
          <w:rFonts w:ascii="Times New Roman" w:hAnsi="Times New Roman" w:cs="Times New Roman"/>
          <w:sz w:val="24"/>
        </w:rPr>
        <w:t>年</w:t>
      </w:r>
      <w:r>
        <w:rPr>
          <w:rFonts w:hint="eastAsia" w:ascii="Times New Roman" w:hAnsi="Times New Roman" w:cs="Times New Roman"/>
          <w:sz w:val="24"/>
        </w:rPr>
        <w:t>6月—2024年11月，全国石油专用计量测试技术委员会确定辽宁省计量科学研究院、中国计量科学研究院、中国石油化工股份有限公司胜利油田分公司承担《石油产品针入度测定仪校准规范》（编号：MTC42-2024-04）的编制任务，接到编制任务后，起草单位成立本标准起草组，进行立项申报，开始收集、研究有关计量技术规范文件以及相关国家规范，对石油产品针入度和锥入度测定仪厂家、应用现场调研，设计测试实验、研制配套标准器，确定相应技术指标。</w:t>
      </w:r>
    </w:p>
    <w:p w14:paraId="2CB4E764">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w:t>
      </w:r>
      <w:r>
        <w:rPr>
          <w:rFonts w:ascii="Times New Roman" w:hAnsi="Times New Roman" w:cs="Times New Roman"/>
          <w:sz w:val="24"/>
        </w:rPr>
        <w:t>、</w:t>
      </w:r>
      <w:r>
        <w:rPr>
          <w:rFonts w:hint="eastAsia" w:ascii="Times New Roman" w:hAnsi="Times New Roman" w:cs="Times New Roman"/>
          <w:sz w:val="24"/>
        </w:rPr>
        <w:t>2024年12月—</w:t>
      </w:r>
      <w:r>
        <w:rPr>
          <w:rFonts w:ascii="Times New Roman" w:hAnsi="Times New Roman" w:cs="Times New Roman"/>
          <w:sz w:val="24"/>
        </w:rPr>
        <w:t>20</w:t>
      </w:r>
      <w:r>
        <w:rPr>
          <w:rFonts w:hint="eastAsia" w:ascii="Times New Roman" w:hAnsi="Times New Roman" w:cs="Times New Roman"/>
          <w:sz w:val="24"/>
        </w:rPr>
        <w:t>25</w:t>
      </w:r>
      <w:r>
        <w:rPr>
          <w:rFonts w:ascii="Times New Roman" w:hAnsi="Times New Roman" w:cs="Times New Roman"/>
          <w:sz w:val="24"/>
        </w:rPr>
        <w:t>年</w:t>
      </w:r>
      <w:r>
        <w:rPr>
          <w:rFonts w:hint="eastAsia" w:ascii="Times New Roman" w:hAnsi="Times New Roman" w:cs="Times New Roman"/>
          <w:sz w:val="24"/>
        </w:rPr>
        <w:t>1月，</w:t>
      </w:r>
      <w:r>
        <w:rPr>
          <w:rFonts w:ascii="Times New Roman" w:hAnsi="Times New Roman" w:cs="Times New Roman"/>
          <w:sz w:val="24"/>
        </w:rPr>
        <w:t>规范起草小组</w:t>
      </w:r>
      <w:r>
        <w:rPr>
          <w:rFonts w:hint="eastAsia" w:ascii="Times New Roman" w:hAnsi="Times New Roman" w:cs="Times New Roman"/>
          <w:sz w:val="24"/>
        </w:rPr>
        <w:t>组织了若干次研讨会，明确技术路线，做好实验分工与技术验证相关工作</w:t>
      </w:r>
      <w:r>
        <w:rPr>
          <w:rFonts w:ascii="Times New Roman" w:hAnsi="Times New Roman" w:cs="Times New Roman"/>
          <w:sz w:val="24"/>
        </w:rPr>
        <w:t>，</w:t>
      </w:r>
      <w:r>
        <w:rPr>
          <w:rFonts w:hint="eastAsia" w:ascii="Times New Roman" w:hAnsi="Times New Roman" w:cs="Times New Roman"/>
          <w:sz w:val="24"/>
        </w:rPr>
        <w:t>开始</w:t>
      </w:r>
      <w:r>
        <w:rPr>
          <w:rFonts w:ascii="Times New Roman" w:hAnsi="Times New Roman" w:cs="Times New Roman"/>
          <w:sz w:val="24"/>
        </w:rPr>
        <w:t>试验数据</w:t>
      </w:r>
      <w:r>
        <w:rPr>
          <w:rFonts w:hint="eastAsia" w:ascii="Times New Roman" w:hAnsi="Times New Roman" w:cs="Times New Roman"/>
          <w:sz w:val="24"/>
        </w:rPr>
        <w:t>的</w:t>
      </w:r>
      <w:r>
        <w:rPr>
          <w:rFonts w:ascii="Times New Roman" w:hAnsi="Times New Roman" w:cs="Times New Roman"/>
          <w:sz w:val="24"/>
        </w:rPr>
        <w:t>积累。</w:t>
      </w:r>
    </w:p>
    <w:p w14:paraId="0E4AE526">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、20</w:t>
      </w:r>
      <w:r>
        <w:rPr>
          <w:rFonts w:hint="eastAsia" w:ascii="Times New Roman" w:hAnsi="Times New Roman" w:cs="Times New Roman"/>
          <w:sz w:val="24"/>
        </w:rPr>
        <w:t>25</w:t>
      </w:r>
      <w:r>
        <w:rPr>
          <w:rFonts w:ascii="Times New Roman" w:hAnsi="Times New Roman" w:cs="Times New Roman"/>
          <w:sz w:val="24"/>
        </w:rPr>
        <w:t>年</w:t>
      </w:r>
      <w:r>
        <w:rPr>
          <w:rFonts w:hint="eastAsia" w:ascii="Times New Roman" w:hAnsi="Times New Roman" w:cs="Times New Roman"/>
          <w:sz w:val="24"/>
        </w:rPr>
        <w:t>2</w:t>
      </w:r>
      <w:r>
        <w:rPr>
          <w:rFonts w:ascii="Times New Roman" w:hAnsi="Times New Roman" w:cs="Times New Roman"/>
          <w:sz w:val="24"/>
        </w:rPr>
        <w:t>月</w:t>
      </w:r>
      <w:r>
        <w:rPr>
          <w:rFonts w:hint="eastAsia" w:ascii="Times New Roman" w:hAnsi="Times New Roman" w:cs="Times New Roman"/>
          <w:sz w:val="24"/>
        </w:rPr>
        <w:t>—2025年5月，规范起草小组汇总初期实验数据及技术验证数据，在</w:t>
      </w:r>
      <w:r>
        <w:rPr>
          <w:rFonts w:ascii="Times New Roman" w:hAnsi="Times New Roman" w:cs="Times New Roman"/>
          <w:sz w:val="24"/>
        </w:rPr>
        <w:t>此基础上形成《</w:t>
      </w:r>
      <w:r>
        <w:rPr>
          <w:rFonts w:hint="eastAsia" w:ascii="Times New Roman" w:hAnsi="Times New Roman" w:cs="Times New Roman"/>
          <w:sz w:val="24"/>
        </w:rPr>
        <w:t>石油产品针（锥）入度测定仪校准规范（初</w:t>
      </w:r>
      <w:r>
        <w:rPr>
          <w:rFonts w:ascii="Times New Roman" w:hAnsi="Times New Roman" w:cs="Times New Roman"/>
          <w:sz w:val="24"/>
        </w:rPr>
        <w:t>稿</w:t>
      </w:r>
      <w:r>
        <w:rPr>
          <w:rFonts w:hint="eastAsia" w:ascii="Times New Roman" w:hAnsi="Times New Roman" w:cs="Times New Roman"/>
          <w:sz w:val="24"/>
        </w:rPr>
        <w:t>）</w:t>
      </w:r>
      <w:r>
        <w:rPr>
          <w:rFonts w:ascii="Times New Roman" w:hAnsi="Times New Roman" w:cs="Times New Roman"/>
          <w:sz w:val="24"/>
        </w:rPr>
        <w:t>》</w:t>
      </w:r>
      <w:r>
        <w:rPr>
          <w:rFonts w:hint="eastAsia" w:ascii="Times New Roman" w:hAnsi="Times New Roman" w:cs="Times New Roman"/>
          <w:sz w:val="24"/>
        </w:rPr>
        <w:t>，</w:t>
      </w:r>
      <w:r>
        <w:rPr>
          <w:rFonts w:ascii="Times New Roman" w:hAnsi="Times New Roman" w:cs="Times New Roman"/>
          <w:sz w:val="24"/>
        </w:rPr>
        <w:t>并</w:t>
      </w:r>
      <w:r>
        <w:rPr>
          <w:rFonts w:hint="eastAsia" w:ascii="Times New Roman" w:hAnsi="Times New Roman" w:cs="Times New Roman"/>
          <w:sz w:val="24"/>
        </w:rPr>
        <w:t>进一步依据初稿，开展模拟校准</w:t>
      </w:r>
      <w:r>
        <w:rPr>
          <w:rFonts w:ascii="Times New Roman" w:hAnsi="Times New Roman" w:cs="Times New Roman"/>
          <w:sz w:val="24"/>
        </w:rPr>
        <w:t>试验验证</w:t>
      </w:r>
      <w:r>
        <w:rPr>
          <w:rFonts w:hint="eastAsia" w:ascii="Times New Roman" w:hAnsi="Times New Roman" w:cs="Times New Roman"/>
          <w:sz w:val="24"/>
        </w:rPr>
        <w:t>。</w:t>
      </w:r>
    </w:p>
    <w:p w14:paraId="6ACF7B2C">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4、2025年6月—2025年7月：内部讨论和完善。项目组内部进行讨论和完善，并与相关合作单位、试验单位进行校准规范的讨论和完善。</w:t>
      </w:r>
    </w:p>
    <w:p w14:paraId="39982093">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征求意见处理：汇总征求到的意见（单位/专家意见），说明采纳或未采纳的理由。（未开展）</w:t>
      </w:r>
    </w:p>
    <w:p w14:paraId="75E940AE">
      <w:pPr>
        <w:rPr>
          <w:rFonts w:ascii="黑体" w:hAnsi="黑体" w:eastAsia="黑体"/>
          <w:sz w:val="28"/>
          <w:szCs w:val="28"/>
        </w:rPr>
      </w:pPr>
      <w:r>
        <w:rPr>
          <w:rFonts w:hint="eastAsia" w:ascii="黑体" w:hAnsi="黑体" w:eastAsia="黑体"/>
          <w:sz w:val="28"/>
          <w:szCs w:val="28"/>
        </w:rPr>
        <w:t>4  规范制定的主要技术依据及原则</w:t>
      </w:r>
    </w:p>
    <w:p w14:paraId="3EA37AFD">
      <w:pPr>
        <w:rPr>
          <w:rFonts w:ascii="黑体" w:hAnsi="黑体" w:eastAsia="黑体" w:cs="Times New Roman"/>
          <w:sz w:val="28"/>
          <w:szCs w:val="28"/>
        </w:rPr>
      </w:pPr>
      <w:r>
        <w:rPr>
          <w:rFonts w:hint="eastAsia" w:ascii="黑体" w:hAnsi="黑体" w:eastAsia="黑体" w:cs="Times New Roman"/>
          <w:sz w:val="28"/>
          <w:szCs w:val="28"/>
        </w:rPr>
        <w:t>4.1  依据</w:t>
      </w:r>
    </w:p>
    <w:p w14:paraId="6B1889B8">
      <w:pPr>
        <w:spacing w:line="360" w:lineRule="auto"/>
        <w:ind w:firstLine="480" w:firstLineChars="200"/>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石油产品针（锥）入度测定仪校准规范</w:t>
      </w:r>
      <w:r>
        <w:rPr>
          <w:rFonts w:ascii="Times New Roman" w:hAnsi="Times New Roman" w:cs="Times New Roman"/>
          <w:sz w:val="24"/>
        </w:rPr>
        <w:t>》的制定依据JJF1071《国家计量校准规范编写规则》</w:t>
      </w:r>
      <w:r>
        <w:rPr>
          <w:rFonts w:hint="eastAsia" w:ascii="Times New Roman" w:hAnsi="Times New Roman" w:cs="Times New Roman"/>
          <w:sz w:val="24"/>
        </w:rPr>
        <w:t>进行编写，</w:t>
      </w:r>
      <w:r>
        <w:rPr>
          <w:rFonts w:ascii="Times New Roman" w:hAnsi="Times New Roman" w:cs="Times New Roman"/>
          <w:sz w:val="24"/>
        </w:rPr>
        <w:t>参考了JJF1001《通用计量术语及定义》和JJ</w:t>
      </w:r>
      <w:r>
        <w:rPr>
          <w:rFonts w:hint="eastAsia" w:ascii="Times New Roman" w:hAnsi="Times New Roman" w:cs="Times New Roman"/>
          <w:sz w:val="24"/>
        </w:rPr>
        <w:t>F1059.1《测量不确定度评定与表示》、GB/T4985《石油蜡针入度测定法》</w:t>
      </w:r>
      <w:r>
        <w:rPr>
          <w:rFonts w:hint="eastAsia" w:ascii="Times New Roman" w:hAnsi="Times New Roman" w:cs="Times New Roman"/>
          <w:sz w:val="24"/>
          <w:lang w:val="zh-CN"/>
        </w:rPr>
        <w:t>、</w:t>
      </w:r>
      <w:r>
        <w:rPr>
          <w:rFonts w:hint="eastAsia" w:ascii="Times New Roman" w:hAnsi="Times New Roman" w:cs="Times New Roman"/>
          <w:sz w:val="24"/>
        </w:rPr>
        <w:t>GB/T269《润滑脂和石油脂锥入度测定法》等。</w:t>
      </w:r>
    </w:p>
    <w:p w14:paraId="69DAE194">
      <w:pPr>
        <w:rPr>
          <w:rFonts w:ascii="黑体" w:hAnsi="黑体" w:eastAsia="黑体" w:cs="Times New Roman"/>
          <w:sz w:val="28"/>
          <w:szCs w:val="28"/>
        </w:rPr>
      </w:pPr>
      <w:r>
        <w:rPr>
          <w:rFonts w:hint="eastAsia" w:ascii="黑体" w:hAnsi="黑体" w:eastAsia="黑体" w:cs="Times New Roman"/>
          <w:sz w:val="28"/>
          <w:szCs w:val="28"/>
        </w:rPr>
        <w:t>4.2  原则</w:t>
      </w:r>
    </w:p>
    <w:p w14:paraId="558FC946">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石油产品针入度和锥入度测定仪广泛运用于生产科研和产品质量检验，其量值的准确与否直接关系到生产工艺和产品质量。在编制的过程中，起草小组掌握以下原则：体现目前技术的先进性，实际工作中的可操作性和可行性。具体如下：</w:t>
      </w:r>
    </w:p>
    <w:p w14:paraId="5475DD5A">
      <w:pPr>
        <w:spacing w:line="360" w:lineRule="auto"/>
        <w:rPr>
          <w:rFonts w:ascii="Times New Roman" w:hAnsi="Times New Roman" w:cs="Times New Roman"/>
          <w:sz w:val="24"/>
        </w:rPr>
      </w:pPr>
      <w:r>
        <w:rPr>
          <w:rFonts w:hint="eastAsia" w:ascii="Times New Roman" w:hAnsi="Times New Roman" w:cs="Times New Roman"/>
          <w:sz w:val="24"/>
        </w:rPr>
        <w:t>4.2.1  架构</w:t>
      </w:r>
    </w:p>
    <w:p w14:paraId="0E1E3CB0">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根据</w:t>
      </w:r>
      <w:r>
        <w:rPr>
          <w:rFonts w:ascii="Times New Roman" w:hAnsi="Times New Roman" w:cs="Times New Roman"/>
          <w:sz w:val="24"/>
        </w:rPr>
        <w:t>JJF1071《国家计量校准规范编写规则》的要求</w:t>
      </w:r>
      <w:r>
        <w:rPr>
          <w:rFonts w:hint="eastAsia" w:ascii="Times New Roman" w:hAnsi="Times New Roman" w:cs="Times New Roman"/>
          <w:sz w:val="24"/>
        </w:rPr>
        <w:t>，</w:t>
      </w:r>
      <w:r>
        <w:rPr>
          <w:rFonts w:ascii="Times New Roman" w:hAnsi="Times New Roman" w:cs="Times New Roman"/>
          <w:sz w:val="24"/>
        </w:rPr>
        <w:t>本规范架构上包括封面</w:t>
      </w:r>
      <w:r>
        <w:rPr>
          <w:rFonts w:hint="eastAsia" w:ascii="Times New Roman" w:hAnsi="Times New Roman" w:cs="Times New Roman"/>
          <w:sz w:val="24"/>
        </w:rPr>
        <w:t>、</w:t>
      </w:r>
      <w:r>
        <w:rPr>
          <w:rFonts w:ascii="Times New Roman" w:hAnsi="Times New Roman" w:cs="Times New Roman"/>
          <w:sz w:val="24"/>
        </w:rPr>
        <w:t>扉页</w:t>
      </w:r>
      <w:r>
        <w:rPr>
          <w:rFonts w:hint="eastAsia" w:ascii="Times New Roman" w:hAnsi="Times New Roman" w:cs="Times New Roman"/>
          <w:sz w:val="24"/>
        </w:rPr>
        <w:t>、</w:t>
      </w:r>
      <w:r>
        <w:rPr>
          <w:rFonts w:ascii="Times New Roman" w:hAnsi="Times New Roman" w:cs="Times New Roman"/>
          <w:sz w:val="24"/>
        </w:rPr>
        <w:t>目录</w:t>
      </w:r>
      <w:r>
        <w:rPr>
          <w:rFonts w:hint="eastAsia" w:ascii="Times New Roman" w:hAnsi="Times New Roman" w:cs="Times New Roman"/>
          <w:sz w:val="24"/>
        </w:rPr>
        <w:t>、引言、范围、引用文件、</w:t>
      </w:r>
      <w:r>
        <w:rPr>
          <w:sz w:val="24"/>
        </w:rPr>
        <w:t>术语、</w:t>
      </w:r>
      <w:r>
        <w:rPr>
          <w:rFonts w:hint="eastAsia" w:ascii="Times New Roman" w:hAnsi="Times New Roman" w:cs="Times New Roman"/>
          <w:sz w:val="24"/>
        </w:rPr>
        <w:t>概述、计量特性、校准条件、校准项目和校准方法、校准结果表达、复校时间间隔以及附录几个部分。</w:t>
      </w:r>
    </w:p>
    <w:p w14:paraId="066D7F0C">
      <w:pPr>
        <w:spacing w:line="360" w:lineRule="auto"/>
        <w:rPr>
          <w:rFonts w:ascii="Times New Roman" w:hAnsi="Times New Roman" w:cs="Times New Roman"/>
          <w:sz w:val="24"/>
        </w:rPr>
      </w:pPr>
      <w:r>
        <w:rPr>
          <w:rFonts w:hint="eastAsia" w:ascii="Times New Roman" w:hAnsi="Times New Roman" w:cs="Times New Roman"/>
          <w:sz w:val="24"/>
        </w:rPr>
        <w:t>4.2.2  计量特性确定原则</w:t>
      </w:r>
    </w:p>
    <w:p w14:paraId="3304CBC2">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本着校准的原则，对仪器特性中示值误差和重复性进行检测，仅给出计量特性、校准项目及方法，并注明计量特性仅作参考不做合格判定依据。</w:t>
      </w:r>
    </w:p>
    <w:p w14:paraId="45A104DE">
      <w:pPr>
        <w:rPr>
          <w:rFonts w:ascii="黑体" w:hAnsi="黑体" w:eastAsia="黑体"/>
          <w:sz w:val="28"/>
          <w:szCs w:val="28"/>
        </w:rPr>
      </w:pPr>
      <w:r>
        <w:rPr>
          <w:rFonts w:hint="eastAsia" w:ascii="黑体" w:hAnsi="黑体" w:eastAsia="黑体"/>
          <w:sz w:val="28"/>
          <w:szCs w:val="28"/>
        </w:rPr>
        <w:t>五、规范制定说明</w:t>
      </w:r>
    </w:p>
    <w:p w14:paraId="6AA247EF">
      <w:pPr>
        <w:rPr>
          <w:rFonts w:ascii="黑体" w:hAnsi="黑体" w:eastAsia="黑体" w:cs="Times New Roman"/>
          <w:sz w:val="28"/>
          <w:szCs w:val="28"/>
        </w:rPr>
      </w:pPr>
      <w:r>
        <w:rPr>
          <w:rFonts w:hint="eastAsia" w:ascii="黑体" w:hAnsi="黑体" w:eastAsia="黑体" w:cs="Times New Roman"/>
          <w:sz w:val="28"/>
          <w:szCs w:val="28"/>
        </w:rPr>
        <w:t>5.1  范围</w:t>
      </w:r>
    </w:p>
    <w:p w14:paraId="16CE4308">
      <w:pPr>
        <w:spacing w:line="360" w:lineRule="auto"/>
        <w:ind w:firstLine="480" w:firstLineChars="200"/>
        <w:rPr>
          <w:rFonts w:ascii="Times New Roman" w:hAnsi="Times New Roman" w:cs="Times New Roman"/>
          <w:sz w:val="24"/>
        </w:rPr>
      </w:pPr>
      <w:r>
        <w:rPr>
          <w:rFonts w:hint="eastAsia"/>
          <w:sz w:val="24"/>
        </w:rPr>
        <w:t>本规范适用于</w:t>
      </w:r>
      <w:r>
        <w:rPr>
          <w:rFonts w:hint="eastAsia" w:ascii="Times New Roman" w:hAnsi="Times New Roman" w:cs="Times New Roman"/>
          <w:sz w:val="24"/>
        </w:rPr>
        <w:t>石油产品针（锥）入度测定仪</w:t>
      </w:r>
      <w:r>
        <w:rPr>
          <w:rFonts w:hint="eastAsia"/>
          <w:sz w:val="24"/>
        </w:rPr>
        <w:t>的校准。</w:t>
      </w:r>
    </w:p>
    <w:p w14:paraId="4FCA5882">
      <w:pPr>
        <w:rPr>
          <w:rFonts w:ascii="黑体" w:hAnsi="黑体" w:eastAsia="黑体" w:cs="Times New Roman"/>
          <w:sz w:val="28"/>
          <w:szCs w:val="28"/>
        </w:rPr>
      </w:pPr>
      <w:r>
        <w:rPr>
          <w:rFonts w:hint="eastAsia" w:ascii="黑体" w:hAnsi="黑体" w:eastAsia="黑体" w:cs="Times New Roman"/>
          <w:sz w:val="28"/>
          <w:szCs w:val="28"/>
        </w:rPr>
        <w:t>5.2引用文件</w:t>
      </w:r>
    </w:p>
    <w:p w14:paraId="47A3C10A">
      <w:pPr>
        <w:spacing w:line="440" w:lineRule="exact"/>
        <w:ind w:firstLine="480" w:firstLineChars="200"/>
        <w:rPr>
          <w:sz w:val="24"/>
        </w:rPr>
      </w:pPr>
      <w:r>
        <w:rPr>
          <w:rFonts w:hint="eastAsia"/>
          <w:sz w:val="24"/>
        </w:rPr>
        <w:t>本规范引用</w:t>
      </w:r>
      <w:r>
        <w:rPr>
          <w:sz w:val="24"/>
        </w:rPr>
        <w:t>了下列文件</w:t>
      </w:r>
      <w:r>
        <w:rPr>
          <w:rFonts w:hint="eastAsia"/>
          <w:sz w:val="24"/>
        </w:rPr>
        <w:t>：</w:t>
      </w:r>
    </w:p>
    <w:p w14:paraId="7A64BD24">
      <w:pPr>
        <w:spacing w:line="440" w:lineRule="exact"/>
        <w:ind w:firstLine="480" w:firstLineChars="200"/>
        <w:rPr>
          <w:rFonts w:ascii="宋体" w:hAnsi="宋体" w:cs="宋体"/>
          <w:sz w:val="24"/>
        </w:rPr>
      </w:pPr>
      <w:r>
        <w:rPr>
          <w:rFonts w:hint="eastAsia" w:ascii="宋体" w:hAnsi="宋体" w:cs="宋体"/>
          <w:sz w:val="24"/>
        </w:rPr>
        <w:t>GB/T4985《石油蜡针入度测定法》</w:t>
      </w:r>
    </w:p>
    <w:p w14:paraId="05B9084A">
      <w:pPr>
        <w:spacing w:line="440" w:lineRule="exact"/>
        <w:ind w:firstLine="480" w:firstLineChars="200"/>
        <w:rPr>
          <w:rFonts w:ascii="宋体" w:hAnsi="宋体" w:cs="宋体"/>
          <w:sz w:val="24"/>
        </w:rPr>
      </w:pPr>
      <w:r>
        <w:rPr>
          <w:rFonts w:hint="eastAsia" w:ascii="宋体" w:hAnsi="宋体" w:cs="宋体"/>
          <w:sz w:val="24"/>
        </w:rPr>
        <w:t>GB/T269《润滑脂和石油脂锥入度测定法》</w:t>
      </w:r>
    </w:p>
    <w:p w14:paraId="267FBC40">
      <w:pPr>
        <w:spacing w:line="440" w:lineRule="exact"/>
        <w:ind w:firstLine="480" w:firstLineChars="200"/>
        <w:rPr>
          <w:rFonts w:ascii="宋体" w:hAnsi="宋体" w:cs="宋体"/>
          <w:sz w:val="24"/>
        </w:rPr>
      </w:pPr>
      <w:r>
        <w:rPr>
          <w:rFonts w:ascii="宋体" w:hAnsi="宋体" w:cs="宋体"/>
          <w:sz w:val="24"/>
        </w:rPr>
        <w:t>JJF1208</w:t>
      </w:r>
      <w:r>
        <w:rPr>
          <w:rFonts w:hint="eastAsia" w:ascii="宋体" w:hAnsi="宋体" w:cs="宋体"/>
          <w:sz w:val="24"/>
        </w:rPr>
        <w:t>《</w:t>
      </w:r>
      <w:r>
        <w:rPr>
          <w:rFonts w:ascii="宋体" w:hAnsi="宋体" w:cs="宋体"/>
          <w:sz w:val="24"/>
        </w:rPr>
        <w:t>沥青针入度仪校准规范</w:t>
      </w:r>
      <w:r>
        <w:rPr>
          <w:rFonts w:hint="eastAsia" w:ascii="宋体" w:hAnsi="宋体" w:cs="宋体"/>
          <w:sz w:val="24"/>
        </w:rPr>
        <w:t>》</w:t>
      </w:r>
    </w:p>
    <w:p w14:paraId="0D65B407">
      <w:pPr>
        <w:spacing w:line="440" w:lineRule="exact"/>
        <w:ind w:firstLine="480" w:firstLineChars="200"/>
        <w:rPr>
          <w:rFonts w:ascii="宋体" w:hAnsi="宋体" w:cs="宋体"/>
          <w:sz w:val="24"/>
        </w:rPr>
      </w:pPr>
      <w:r>
        <w:rPr>
          <w:rFonts w:ascii="宋体" w:hAnsi="宋体" w:cs="宋体"/>
          <w:sz w:val="24"/>
        </w:rPr>
        <w:t>JJF2019</w:t>
      </w:r>
      <w:r>
        <w:rPr>
          <w:rFonts w:hint="eastAsia" w:ascii="宋体" w:hAnsi="宋体" w:cs="宋体"/>
          <w:sz w:val="24"/>
        </w:rPr>
        <w:t>《</w:t>
      </w:r>
      <w:r>
        <w:rPr>
          <w:rFonts w:ascii="宋体" w:hAnsi="宋体" w:cs="宋体"/>
          <w:sz w:val="24"/>
        </w:rPr>
        <w:t>液体恒温试验设备温度性能测试规范</w:t>
      </w:r>
      <w:r>
        <w:rPr>
          <w:rFonts w:hint="eastAsia" w:ascii="宋体" w:hAnsi="宋体" w:cs="宋体"/>
          <w:sz w:val="24"/>
        </w:rPr>
        <w:t>》</w:t>
      </w:r>
    </w:p>
    <w:p w14:paraId="2603EE69">
      <w:pPr>
        <w:spacing w:line="360" w:lineRule="auto"/>
        <w:ind w:firstLine="480" w:firstLineChars="200"/>
        <w:rPr>
          <w:rFonts w:ascii="宋体" w:cs="宋体"/>
          <w:color w:val="000000"/>
          <w:kern w:val="0"/>
          <w:sz w:val="24"/>
        </w:rPr>
      </w:pPr>
      <w:r>
        <w:rPr>
          <w:rFonts w:hint="eastAsia" w:ascii="宋体" w:cs="宋体"/>
          <w:color w:val="000000"/>
          <w:kern w:val="0"/>
          <w:sz w:val="24"/>
        </w:rPr>
        <w:t>凡是注日期的引用文件，仅注日期的版本适用于本规范；凡是不注日期的引用文件，其最新版本</w:t>
      </w:r>
      <w:r>
        <w:rPr>
          <w:rFonts w:ascii="宋体" w:cs="宋体"/>
          <w:color w:val="000000"/>
          <w:kern w:val="0"/>
          <w:sz w:val="24"/>
        </w:rPr>
        <w:t>（</w:t>
      </w:r>
      <w:r>
        <w:rPr>
          <w:rFonts w:hint="eastAsia" w:ascii="宋体" w:cs="宋体"/>
          <w:color w:val="000000"/>
          <w:kern w:val="0"/>
          <w:sz w:val="24"/>
        </w:rPr>
        <w:t>包括</w:t>
      </w:r>
      <w:r>
        <w:rPr>
          <w:rFonts w:ascii="宋体" w:cs="宋体"/>
          <w:color w:val="000000"/>
          <w:kern w:val="0"/>
          <w:sz w:val="24"/>
        </w:rPr>
        <w:t>所有的修改单）</w:t>
      </w:r>
      <w:r>
        <w:rPr>
          <w:rFonts w:hint="eastAsia" w:ascii="宋体" w:cs="宋体"/>
          <w:color w:val="000000"/>
          <w:kern w:val="0"/>
          <w:sz w:val="24"/>
        </w:rPr>
        <w:t>适用于</w:t>
      </w:r>
      <w:r>
        <w:rPr>
          <w:rFonts w:ascii="宋体" w:cs="宋体"/>
          <w:color w:val="000000"/>
          <w:kern w:val="0"/>
          <w:sz w:val="24"/>
        </w:rPr>
        <w:t>本规范。</w:t>
      </w:r>
    </w:p>
    <w:p w14:paraId="69CA7E3B">
      <w:pPr>
        <w:rPr>
          <w:rFonts w:ascii="黑体" w:hAnsi="黑体" w:eastAsia="黑体" w:cs="Times New Roman"/>
          <w:sz w:val="28"/>
          <w:szCs w:val="28"/>
        </w:rPr>
      </w:pPr>
      <w:r>
        <w:rPr>
          <w:rFonts w:hint="eastAsia" w:ascii="黑体" w:hAnsi="黑体" w:eastAsia="黑体" w:cs="Times New Roman"/>
          <w:sz w:val="28"/>
          <w:szCs w:val="28"/>
        </w:rPr>
        <w:t>5.3术语</w:t>
      </w:r>
    </w:p>
    <w:p w14:paraId="57893E73">
      <w:pPr>
        <w:pStyle w:val="14"/>
        <w:ind w:left="360" w:firstLine="240" w:firstLineChars="100"/>
        <w:jc w:val="left"/>
        <w:rPr>
          <w:sz w:val="24"/>
        </w:rPr>
      </w:pPr>
      <w:r>
        <w:rPr>
          <w:rFonts w:hint="eastAsia"/>
          <w:sz w:val="24"/>
        </w:rPr>
        <w:t>对</w:t>
      </w:r>
      <w:r>
        <w:rPr>
          <w:rFonts w:hint="eastAsia" w:ascii="Times New Roman" w:hAnsi="Times New Roman" w:cs="Times New Roman"/>
          <w:sz w:val="24"/>
        </w:rPr>
        <w:t>石油产品针入度和锥入度测定仪</w:t>
      </w:r>
      <w:r>
        <w:rPr>
          <w:rFonts w:hint="eastAsia"/>
          <w:sz w:val="24"/>
        </w:rPr>
        <w:t>相关的名词术语进行了解释</w:t>
      </w:r>
    </w:p>
    <w:p w14:paraId="594DED45">
      <w:pPr>
        <w:rPr>
          <w:rFonts w:ascii="黑体" w:hAnsi="黑体" w:eastAsia="黑体" w:cs="Times New Roman"/>
          <w:sz w:val="28"/>
          <w:szCs w:val="28"/>
        </w:rPr>
      </w:pPr>
      <w:r>
        <w:rPr>
          <w:rFonts w:hint="eastAsia" w:ascii="黑体" w:hAnsi="黑体" w:eastAsia="黑体" w:cs="Times New Roman"/>
          <w:sz w:val="28"/>
          <w:szCs w:val="28"/>
        </w:rPr>
        <w:t>5.4概述</w:t>
      </w:r>
    </w:p>
    <w:p w14:paraId="3C8F71E8">
      <w:pPr>
        <w:spacing w:line="360" w:lineRule="auto"/>
        <w:ind w:firstLine="480" w:firstLineChars="200"/>
        <w:rPr>
          <w:sz w:val="24"/>
        </w:rPr>
      </w:pPr>
      <w:r>
        <w:rPr>
          <w:rFonts w:hint="eastAsia" w:ascii="Times New Roman" w:hAnsi="Times New Roman" w:cs="Times New Roman"/>
          <w:sz w:val="24"/>
        </w:rPr>
        <w:t>规范给出了石油产品针入度和锥入度测定仪的工作原理</w:t>
      </w:r>
      <w:r>
        <w:rPr>
          <w:rFonts w:hint="eastAsia"/>
          <w:sz w:val="24"/>
        </w:rPr>
        <w:t>、结构特点和用途。</w:t>
      </w:r>
    </w:p>
    <w:p w14:paraId="1089A147">
      <w:pPr>
        <w:rPr>
          <w:rFonts w:ascii="黑体" w:hAnsi="黑体" w:eastAsia="黑体" w:cs="Times New Roman"/>
          <w:sz w:val="28"/>
          <w:szCs w:val="28"/>
        </w:rPr>
      </w:pPr>
      <w:r>
        <w:rPr>
          <w:rFonts w:hint="eastAsia" w:ascii="黑体" w:hAnsi="黑体" w:eastAsia="黑体" w:cs="Times New Roman"/>
          <w:sz w:val="28"/>
          <w:szCs w:val="28"/>
        </w:rPr>
        <w:t>5.5 计量特性</w:t>
      </w:r>
    </w:p>
    <w:p w14:paraId="26963E9B">
      <w:pPr>
        <w:spacing w:line="360" w:lineRule="auto"/>
        <w:ind w:firstLine="480" w:firstLineChars="200"/>
        <w:rPr>
          <w:rFonts w:hAnsi="宋体"/>
          <w:sz w:val="24"/>
        </w:rPr>
      </w:pPr>
      <w:bookmarkStart w:id="0" w:name="_Toc531750892"/>
      <w:r>
        <w:rPr>
          <w:rFonts w:hint="eastAsia" w:hAnsi="宋体"/>
          <w:sz w:val="24"/>
        </w:rPr>
        <w:t>本规范为了使</w:t>
      </w:r>
      <w:r>
        <w:rPr>
          <w:rFonts w:hint="eastAsia" w:ascii="Times New Roman" w:hAnsi="Times New Roman" w:cs="Times New Roman"/>
          <w:sz w:val="24"/>
        </w:rPr>
        <w:t>石油产品针入度和锥入度测定仪</w:t>
      </w:r>
      <w:r>
        <w:rPr>
          <w:rFonts w:hint="eastAsia" w:hAnsi="宋体"/>
          <w:sz w:val="24"/>
        </w:rPr>
        <w:t>对社会出具准确、可靠、有效的数据，满足石化行业领域的检测需求并对仪器的计量性能进行较为全面的评价，规范起草小组对仪器的主要性能的技术指标进行统一、合理、符合实际的规定。根据现行标准，</w:t>
      </w:r>
      <w:r>
        <w:rPr>
          <w:rFonts w:hint="eastAsia" w:ascii="Times New Roman" w:hAnsi="Times New Roman" w:cs="Times New Roman"/>
          <w:sz w:val="24"/>
        </w:rPr>
        <w:t>给出了</w:t>
      </w:r>
      <w:bookmarkStart w:id="1" w:name="OLE_LINK3"/>
      <w:r>
        <w:rPr>
          <w:rFonts w:hint="eastAsia" w:ascii="Times New Roman" w:hAnsi="Times New Roman" w:cs="Times New Roman"/>
          <w:sz w:val="24"/>
        </w:rPr>
        <w:t>水浴温度、计时误差、针（锥）入度示值误差及重复性等要求</w:t>
      </w:r>
      <w:bookmarkEnd w:id="1"/>
      <w:r>
        <w:rPr>
          <w:rFonts w:hint="eastAsia" w:ascii="Times New Roman" w:hAnsi="Times New Roman" w:cs="Times New Roman"/>
          <w:sz w:val="24"/>
        </w:rPr>
        <w:t>，</w:t>
      </w:r>
      <w:bookmarkEnd w:id="0"/>
      <w:bookmarkStart w:id="2" w:name="_Toc531750893"/>
      <w:r>
        <w:rPr>
          <w:rFonts w:hint="eastAsia" w:ascii="Times New Roman" w:hAnsi="Times New Roman" w:cs="Times New Roman"/>
          <w:sz w:val="24"/>
        </w:rPr>
        <w:t>以及若干校准前需要自行验证的项目及参数要求</w:t>
      </w:r>
      <w:r>
        <w:rPr>
          <w:rFonts w:hint="eastAsia" w:hAnsi="宋体"/>
          <w:sz w:val="24"/>
        </w:rPr>
        <w:t>。</w:t>
      </w:r>
      <w:bookmarkEnd w:id="2"/>
      <w:bookmarkStart w:id="3" w:name="_Toc531750896"/>
    </w:p>
    <w:p w14:paraId="68BEE0F2">
      <w:pPr>
        <w:rPr>
          <w:rFonts w:ascii="黑体" w:hAnsi="黑体" w:eastAsia="黑体" w:cs="Times New Roman"/>
          <w:sz w:val="28"/>
          <w:szCs w:val="28"/>
        </w:rPr>
      </w:pPr>
      <w:r>
        <w:rPr>
          <w:rFonts w:hint="eastAsia" w:ascii="黑体" w:hAnsi="黑体" w:eastAsia="黑体" w:cs="Times New Roman"/>
          <w:sz w:val="28"/>
          <w:szCs w:val="28"/>
        </w:rPr>
        <w:t>5.6  校准</w:t>
      </w:r>
      <w:bookmarkEnd w:id="3"/>
      <w:r>
        <w:rPr>
          <w:rFonts w:hint="eastAsia" w:ascii="黑体" w:hAnsi="黑体" w:eastAsia="黑体" w:cs="Times New Roman"/>
          <w:sz w:val="28"/>
          <w:szCs w:val="28"/>
        </w:rPr>
        <w:t>条件</w:t>
      </w:r>
    </w:p>
    <w:p w14:paraId="7327693F">
      <w:pPr>
        <w:spacing w:line="360" w:lineRule="auto"/>
        <w:ind w:firstLine="480" w:firstLineChars="200"/>
        <w:rPr>
          <w:rFonts w:ascii="宋体" w:hAnsi="宋体"/>
          <w:sz w:val="24"/>
        </w:rPr>
      </w:pPr>
      <w:r>
        <w:rPr>
          <w:sz w:val="24"/>
        </w:rPr>
        <w:t>部分主要规定了对</w:t>
      </w:r>
      <w:r>
        <w:rPr>
          <w:rFonts w:hint="eastAsia" w:ascii="宋体" w:hAnsi="宋体"/>
          <w:sz w:val="24"/>
        </w:rPr>
        <w:t>石油产品针（锥）入度测定仪</w:t>
      </w:r>
      <w:r>
        <w:rPr>
          <w:rFonts w:hint="eastAsia"/>
          <w:sz w:val="24"/>
        </w:rPr>
        <w:t>进行校准需要满足的环境条件，</w:t>
      </w:r>
      <w:r>
        <w:rPr>
          <w:rFonts w:hint="eastAsia" w:ascii="Times New Roman" w:hAnsi="Times New Roman" w:cs="Times New Roman"/>
          <w:sz w:val="24"/>
        </w:rPr>
        <w:t>根据计量特性要求，制定了相对应的计量特性及其匹配的校准用标准器的技术要求</w:t>
      </w:r>
      <w:r>
        <w:rPr>
          <w:rFonts w:hint="eastAsia"/>
          <w:sz w:val="24"/>
        </w:rPr>
        <w:t>，以确保测量结果准确可靠。</w:t>
      </w:r>
    </w:p>
    <w:p w14:paraId="11441E67">
      <w:pPr>
        <w:rPr>
          <w:rFonts w:ascii="黑体" w:hAnsi="黑体" w:eastAsia="黑体" w:cs="Times New Roman"/>
          <w:sz w:val="28"/>
          <w:szCs w:val="28"/>
        </w:rPr>
      </w:pPr>
      <w:r>
        <w:rPr>
          <w:rFonts w:hint="eastAsia" w:ascii="黑体" w:hAnsi="黑体" w:eastAsia="黑体" w:cs="Times New Roman"/>
          <w:sz w:val="28"/>
          <w:szCs w:val="28"/>
        </w:rPr>
        <w:t>5.7  校准项目和校准方法</w:t>
      </w:r>
    </w:p>
    <w:p w14:paraId="6105605D">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校准项目及方法参照了</w:t>
      </w:r>
      <w:r>
        <w:rPr>
          <w:rFonts w:hint="eastAsia" w:ascii="宋体" w:hAnsi="宋体"/>
          <w:sz w:val="24"/>
        </w:rPr>
        <w:t>GB/T4985《石油蜡针入度测定法》</w:t>
      </w:r>
      <w:r>
        <w:rPr>
          <w:rFonts w:hint="eastAsia" w:ascii="宋体" w:hAnsi="宋体"/>
          <w:sz w:val="24"/>
          <w:lang w:val="zh-CN"/>
        </w:rPr>
        <w:t>、</w:t>
      </w:r>
      <w:r>
        <w:rPr>
          <w:rFonts w:hint="eastAsia" w:ascii="宋体" w:hAnsi="宋体"/>
          <w:sz w:val="24"/>
        </w:rPr>
        <w:t>GB/T269《润滑脂和石油脂锥入度测定法》</w:t>
      </w:r>
      <w:r>
        <w:rPr>
          <w:rFonts w:hint="eastAsia" w:ascii="Times New Roman" w:hAnsi="Times New Roman" w:cs="Times New Roman"/>
          <w:sz w:val="24"/>
        </w:rPr>
        <w:t>编制，并通过试验进行了验证。</w:t>
      </w:r>
    </w:p>
    <w:p w14:paraId="041CABC4">
      <w:pPr>
        <w:rPr>
          <w:rFonts w:ascii="黑体" w:hAnsi="黑体" w:eastAsia="黑体" w:cs="Times New Roman"/>
          <w:sz w:val="28"/>
          <w:szCs w:val="28"/>
        </w:rPr>
      </w:pPr>
      <w:bookmarkStart w:id="4" w:name="_Toc531750906"/>
      <w:r>
        <w:rPr>
          <w:rFonts w:hint="eastAsia" w:ascii="黑体" w:hAnsi="黑体" w:eastAsia="黑体" w:cs="Times New Roman"/>
          <w:sz w:val="28"/>
          <w:szCs w:val="28"/>
        </w:rPr>
        <w:t>5.8  校准结果</w:t>
      </w:r>
      <w:bookmarkEnd w:id="4"/>
      <w:r>
        <w:rPr>
          <w:rFonts w:hint="eastAsia" w:ascii="黑体" w:hAnsi="黑体" w:eastAsia="黑体" w:cs="Times New Roman"/>
          <w:sz w:val="28"/>
          <w:szCs w:val="28"/>
        </w:rPr>
        <w:t>表达</w:t>
      </w:r>
    </w:p>
    <w:p w14:paraId="273A2052">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依据</w:t>
      </w:r>
      <w:r>
        <w:rPr>
          <w:rFonts w:ascii="Times New Roman" w:hAnsi="Times New Roman" w:cs="Times New Roman"/>
          <w:sz w:val="24"/>
        </w:rPr>
        <w:t>JJF1071-2010《国家计量校准规范编写规则》</w:t>
      </w:r>
      <w:r>
        <w:rPr>
          <w:rFonts w:hint="eastAsia" w:ascii="Times New Roman" w:hAnsi="Times New Roman" w:cs="Times New Roman"/>
          <w:sz w:val="24"/>
        </w:rPr>
        <w:t>编制。</w:t>
      </w:r>
    </w:p>
    <w:p w14:paraId="51850E84">
      <w:pPr>
        <w:rPr>
          <w:rFonts w:ascii="黑体" w:hAnsi="黑体" w:eastAsia="黑体" w:cs="Times New Roman"/>
          <w:sz w:val="28"/>
          <w:szCs w:val="28"/>
        </w:rPr>
      </w:pPr>
      <w:r>
        <w:rPr>
          <w:rFonts w:hint="eastAsia" w:ascii="黑体" w:hAnsi="黑体" w:eastAsia="黑体" w:cs="Times New Roman"/>
          <w:sz w:val="28"/>
          <w:szCs w:val="28"/>
        </w:rPr>
        <w:t>5.9  复校时间间隔</w:t>
      </w:r>
    </w:p>
    <w:p w14:paraId="3EF4FF2D">
      <w:pPr>
        <w:spacing w:line="360" w:lineRule="auto"/>
        <w:ind w:firstLine="480" w:firstLineChars="200"/>
        <w:jc w:val="left"/>
        <w:rPr>
          <w:sz w:val="24"/>
        </w:rPr>
      </w:pPr>
      <w:r>
        <w:rPr>
          <w:rFonts w:hint="eastAsia"/>
          <w:sz w:val="24"/>
        </w:rPr>
        <w:t>对</w:t>
      </w:r>
      <w:r>
        <w:rPr>
          <w:rFonts w:hint="eastAsia" w:ascii="Times New Roman" w:hAnsi="Times New Roman" w:cs="Times New Roman"/>
          <w:bCs/>
          <w:sz w:val="24"/>
        </w:rPr>
        <w:t>石油产品针入度和锥入度测定仪</w:t>
      </w:r>
      <w:r>
        <w:rPr>
          <w:rFonts w:hint="eastAsia"/>
          <w:sz w:val="24"/>
        </w:rPr>
        <w:t>校准方法的复校时间间隔给出了建议。</w:t>
      </w:r>
    </w:p>
    <w:p w14:paraId="3CD56654">
      <w:pPr>
        <w:rPr>
          <w:rFonts w:ascii="黑体" w:hAnsi="黑体" w:eastAsia="黑体" w:cs="Times New Roman"/>
          <w:sz w:val="28"/>
          <w:szCs w:val="28"/>
        </w:rPr>
      </w:pPr>
      <w:r>
        <w:rPr>
          <w:rFonts w:hint="eastAsia" w:ascii="黑体" w:hAnsi="黑体" w:eastAsia="黑体" w:cs="Times New Roman"/>
          <w:sz w:val="28"/>
          <w:szCs w:val="28"/>
        </w:rPr>
        <w:t>5.10  附录</w:t>
      </w:r>
    </w:p>
    <w:p w14:paraId="24C21B21">
      <w:pPr>
        <w:spacing w:line="300" w:lineRule="auto"/>
        <w:rPr>
          <w:rFonts w:ascii="Times New Roman" w:hAnsi="Times New Roman" w:cs="Times New Roman"/>
          <w:sz w:val="24"/>
        </w:rPr>
      </w:pPr>
      <w:r>
        <w:rPr>
          <w:rFonts w:ascii="Times New Roman" w:hAnsi="Times New Roman" w:cs="Times New Roman"/>
          <w:sz w:val="24"/>
        </w:rPr>
        <w:t xml:space="preserve">附录A  </w:t>
      </w:r>
      <w:r>
        <w:rPr>
          <w:rFonts w:hint="eastAsia" w:ascii="Times New Roman" w:hAnsi="Times New Roman" w:cs="Times New Roman"/>
          <w:bCs/>
          <w:sz w:val="24"/>
        </w:rPr>
        <w:t>石油产品针入度和锥入度测定仪标准针（锥）计量特性测试方法</w:t>
      </w:r>
    </w:p>
    <w:p w14:paraId="720BE8DF">
      <w:pPr>
        <w:spacing w:line="300" w:lineRule="auto"/>
        <w:rPr>
          <w:rFonts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B</w:t>
      </w:r>
      <w:r>
        <w:rPr>
          <w:rFonts w:ascii="Times New Roman" w:hAnsi="Times New Roman" w:cs="Times New Roman"/>
          <w:sz w:val="24"/>
        </w:rPr>
        <w:t xml:space="preserve">  </w:t>
      </w:r>
      <w:r>
        <w:rPr>
          <w:rFonts w:ascii="Times New Roman" w:hAnsi="Times New Roman" w:cs="Times New Roman"/>
          <w:bCs/>
          <w:sz w:val="24"/>
        </w:rPr>
        <w:t>校准原始记录参考格式</w:t>
      </w:r>
    </w:p>
    <w:p w14:paraId="36DECE5B">
      <w:pPr>
        <w:spacing w:line="300" w:lineRule="auto"/>
        <w:rPr>
          <w:rFonts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C</w:t>
      </w:r>
      <w:r>
        <w:rPr>
          <w:rFonts w:hint="eastAsia" w:ascii="Times New Roman" w:hAnsi="Times New Roman" w:cs="Times New Roman"/>
          <w:bCs/>
          <w:sz w:val="24"/>
        </w:rPr>
        <w:t xml:space="preserve">  </w:t>
      </w:r>
      <w:r>
        <w:rPr>
          <w:rFonts w:ascii="Times New Roman" w:hAnsi="Times New Roman" w:cs="Times New Roman"/>
          <w:sz w:val="24"/>
        </w:rPr>
        <w:t>校准证书内页参考格式</w:t>
      </w:r>
    </w:p>
    <w:p w14:paraId="6D81BC7D">
      <w:pPr>
        <w:spacing w:line="300" w:lineRule="auto"/>
        <w:rPr>
          <w:rFonts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D</w:t>
      </w:r>
      <w:r>
        <w:rPr>
          <w:rFonts w:ascii="Times New Roman" w:hAnsi="Times New Roman" w:cs="Times New Roman"/>
          <w:sz w:val="24"/>
        </w:rPr>
        <w:t xml:space="preserve">  </w:t>
      </w:r>
      <w:r>
        <w:rPr>
          <w:rFonts w:ascii="Times New Roman" w:hAnsi="Times New Roman" w:cs="Times New Roman"/>
          <w:bCs/>
          <w:sz w:val="24"/>
        </w:rPr>
        <w:t>示值误差校准结果测量不确定度评定示例</w:t>
      </w:r>
    </w:p>
    <w:p w14:paraId="52A5C6A0">
      <w:pPr>
        <w:spacing w:line="360" w:lineRule="auto"/>
        <w:rPr>
          <w:rFonts w:ascii="黑体" w:hAnsi="黑体" w:eastAsia="黑体"/>
          <w:sz w:val="28"/>
          <w:szCs w:val="28"/>
        </w:rPr>
      </w:pPr>
      <w:r>
        <w:rPr>
          <w:rFonts w:hint="eastAsia" w:ascii="黑体" w:hAnsi="黑体" w:eastAsia="黑体"/>
          <w:sz w:val="28"/>
          <w:szCs w:val="28"/>
        </w:rPr>
        <w:t>6  结束语</w:t>
      </w:r>
    </w:p>
    <w:p w14:paraId="34CEA5F1">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本规范的编制依据</w:t>
      </w:r>
      <w:r>
        <w:rPr>
          <w:rFonts w:ascii="Times New Roman" w:hAnsi="Times New Roman" w:cs="Times New Roman"/>
          <w:sz w:val="24"/>
        </w:rPr>
        <w:t>JJF1071-2010《国家计量校准规范编写规则》</w:t>
      </w:r>
      <w:r>
        <w:rPr>
          <w:rFonts w:hint="eastAsia" w:ascii="Times New Roman" w:hAnsi="Times New Roman" w:cs="Times New Roman"/>
          <w:sz w:val="24"/>
        </w:rPr>
        <w:t>，仅给出计量特性及校准项目及方法，未给出符合性判定，希望委员和专家们提出宝贵意见，使规范更加完善和适用。</w:t>
      </w:r>
    </w:p>
    <w:p w14:paraId="5E729A99">
      <w:pPr>
        <w:spacing w:line="360" w:lineRule="auto"/>
        <w:ind w:firstLine="480" w:firstLineChars="200"/>
        <w:rPr>
          <w:rFonts w:ascii="Times New Roman" w:hAnsi="Times New Roman" w:cs="Times New Roman"/>
          <w:sz w:val="24"/>
        </w:rPr>
      </w:pPr>
    </w:p>
    <w:p w14:paraId="365584E9">
      <w:pPr>
        <w:spacing w:line="360" w:lineRule="auto"/>
        <w:ind w:firstLine="480" w:firstLineChars="200"/>
        <w:jc w:val="right"/>
        <w:rPr>
          <w:rFonts w:ascii="Times New Roman" w:hAnsi="Times New Roman" w:cs="Times New Roman"/>
          <w:bCs/>
          <w:sz w:val="24"/>
        </w:rPr>
      </w:pPr>
      <w:r>
        <w:rPr>
          <w:rFonts w:hint="eastAsia" w:ascii="Times New Roman" w:hAnsi="Times New Roman" w:cs="Times New Roman"/>
          <w:bCs/>
          <w:sz w:val="24"/>
        </w:rPr>
        <w:t>石油产品针（锥）入度测定仪</w:t>
      </w:r>
      <w:r>
        <w:rPr>
          <w:rFonts w:hint="eastAsia" w:ascii="Times New Roman" w:hAnsi="Times New Roman" w:cs="Times New Roman"/>
          <w:sz w:val="24"/>
        </w:rPr>
        <w:t>校准规范起草小组</w:t>
      </w:r>
    </w:p>
    <w:p w14:paraId="25D25332">
      <w:pPr>
        <w:jc w:val="right"/>
        <w:rPr>
          <w:rFonts w:hint="default" w:cs="Times New Roman" w:asciiTheme="majorEastAsia" w:hAnsiTheme="majorEastAsia" w:eastAsiaTheme="majorEastAsia"/>
          <w:sz w:val="24"/>
          <w:lang w:val="en-US" w:eastAsia="zh-CN"/>
        </w:rPr>
      </w:pPr>
      <w:r>
        <w:rPr>
          <w:rFonts w:hint="eastAsia"/>
        </w:rPr>
        <w:t xml:space="preserve">                                                              </w:t>
      </w:r>
      <w:r>
        <w:rPr>
          <w:rFonts w:ascii="Times New Roman" w:hAnsi="Times New Roman" w:cs="Times New Roman"/>
          <w:sz w:val="24"/>
        </w:rPr>
        <w:t xml:space="preserve">  </w:t>
      </w:r>
      <w:r>
        <w:rPr>
          <w:rFonts w:cs="Times New Roman" w:asciiTheme="majorEastAsia" w:hAnsiTheme="majorEastAsia" w:eastAsiaTheme="majorEastAsia"/>
          <w:sz w:val="24"/>
        </w:rPr>
        <w:t xml:space="preserve"> 202</w:t>
      </w:r>
      <w:r>
        <w:rPr>
          <w:rFonts w:hint="eastAsia" w:cs="Times New Roman" w:asciiTheme="majorEastAsia" w:hAnsiTheme="majorEastAsia" w:eastAsiaTheme="majorEastAsia"/>
          <w:sz w:val="24"/>
          <w:lang w:val="en-US" w:eastAsia="zh-CN"/>
        </w:rPr>
        <w:t>6</w:t>
      </w:r>
      <w:r>
        <w:rPr>
          <w:rFonts w:hint="eastAsia" w:cs="Times New Roman" w:asciiTheme="majorEastAsia" w:hAnsiTheme="majorEastAsia" w:eastAsiaTheme="majorEastAsia"/>
          <w:sz w:val="24"/>
        </w:rPr>
        <w:t>.0</w:t>
      </w:r>
      <w:r>
        <w:rPr>
          <w:rFonts w:hint="eastAsia" w:cs="Times New Roman" w:asciiTheme="majorEastAsia" w:hAnsiTheme="majorEastAsia" w:eastAsiaTheme="majorEastAsia"/>
          <w:sz w:val="24"/>
          <w:lang w:val="en-US" w:eastAsia="zh-CN"/>
        </w:rPr>
        <w:t>2</w:t>
      </w:r>
      <w:r>
        <w:rPr>
          <w:rFonts w:hint="eastAsia" w:cs="Times New Roman" w:asciiTheme="majorEastAsia" w:hAnsiTheme="majorEastAsia" w:eastAsiaTheme="majorEastAsia"/>
          <w:sz w:val="24"/>
        </w:rPr>
        <w:t>.</w:t>
      </w:r>
      <w:r>
        <w:rPr>
          <w:rFonts w:hint="eastAsia" w:cs="Times New Roman" w:asciiTheme="majorEastAsia" w:hAnsiTheme="majorEastAsia" w:eastAsiaTheme="majorEastAsia"/>
          <w:sz w:val="24"/>
          <w:lang w:val="en-US" w:eastAsia="zh-CN"/>
        </w:rPr>
        <w:t>08</w:t>
      </w:r>
      <w:bookmarkStart w:id="5" w:name="_GoBack"/>
      <w:bookmarkEnd w:id="5"/>
    </w:p>
    <w:p w14:paraId="682C64EC">
      <w:pPr>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skerville Old Face">
    <w:altName w:val="Segoe Print"/>
    <w:panose1 w:val="02020602080505020303"/>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626689"/>
    <w:multiLevelType w:val="multilevel"/>
    <w:tmpl w:val="51626689"/>
    <w:lvl w:ilvl="0" w:tentative="0">
      <w:start w:val="1"/>
      <w:numFmt w:val="decimal"/>
      <w:lvlText w:val="%1"/>
      <w:lvlJc w:val="left"/>
      <w:pPr>
        <w:ind w:left="2628" w:hanging="360"/>
      </w:pPr>
      <w:rPr>
        <w:rFonts w:hint="eastAsia"/>
      </w:rPr>
    </w:lvl>
    <w:lvl w:ilvl="1" w:tentative="0">
      <w:start w:val="1"/>
      <w:numFmt w:val="decimal"/>
      <w:pStyle w:val="16"/>
      <w:isLgl/>
      <w:lvlText w:val="%1.%2"/>
      <w:lvlJc w:val="left"/>
      <w:pPr>
        <w:ind w:left="405" w:hanging="405"/>
      </w:pPr>
      <w:rPr>
        <w:rFonts w:hint="default" w:ascii="黑体" w:hAnsi="黑体" w:eastAsia="黑体"/>
      </w:rPr>
    </w:lvl>
    <w:lvl w:ilvl="2" w:tentative="0">
      <w:start w:val="1"/>
      <w:numFmt w:val="decimal"/>
      <w:isLgl/>
      <w:lvlText w:val="%1.%2.%3"/>
      <w:lvlJc w:val="left"/>
      <w:pPr>
        <w:ind w:left="862" w:hanging="720"/>
      </w:pPr>
      <w:rPr>
        <w:rFonts w:hint="default" w:ascii="黑体" w:hAnsi="黑体" w:eastAsia="黑体" w:cs="Times New Roman"/>
      </w:rPr>
    </w:lvl>
    <w:lvl w:ilvl="3" w:tentative="0">
      <w:start w:val="1"/>
      <w:numFmt w:val="decimal"/>
      <w:isLgl/>
      <w:lvlText w:val="%1.%2.%3.%4"/>
      <w:lvlJc w:val="left"/>
      <w:pPr>
        <w:ind w:left="284" w:hanging="284"/>
      </w:pPr>
      <w:rPr>
        <w:rFonts w:hint="default" w:ascii="黑体" w:hAnsi="黑体" w:eastAsia="黑体" w:cs="Times New Roman"/>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U1NmFkYjM2ZjVlNjlhYTExODFlMTExZDY5YzQ0NzkifQ=="/>
  </w:docVars>
  <w:rsids>
    <w:rsidRoot w:val="00A63A3B"/>
    <w:rsid w:val="00040CF2"/>
    <w:rsid w:val="00060BE7"/>
    <w:rsid w:val="000A6AD6"/>
    <w:rsid w:val="000A7679"/>
    <w:rsid w:val="000C473F"/>
    <w:rsid w:val="000D02D1"/>
    <w:rsid w:val="000E33C3"/>
    <w:rsid w:val="000F3AE0"/>
    <w:rsid w:val="0013103C"/>
    <w:rsid w:val="001315BA"/>
    <w:rsid w:val="0013729E"/>
    <w:rsid w:val="00165D5A"/>
    <w:rsid w:val="00264F75"/>
    <w:rsid w:val="002A4DEC"/>
    <w:rsid w:val="002C04A9"/>
    <w:rsid w:val="0030230B"/>
    <w:rsid w:val="0033678D"/>
    <w:rsid w:val="00351D23"/>
    <w:rsid w:val="00360E15"/>
    <w:rsid w:val="003622BB"/>
    <w:rsid w:val="003C1318"/>
    <w:rsid w:val="00445A71"/>
    <w:rsid w:val="00454BC7"/>
    <w:rsid w:val="004B489E"/>
    <w:rsid w:val="00503A59"/>
    <w:rsid w:val="00522C26"/>
    <w:rsid w:val="005437D9"/>
    <w:rsid w:val="00545F49"/>
    <w:rsid w:val="0057338C"/>
    <w:rsid w:val="00596976"/>
    <w:rsid w:val="005A0EA8"/>
    <w:rsid w:val="005C2780"/>
    <w:rsid w:val="005C791A"/>
    <w:rsid w:val="005F1CC5"/>
    <w:rsid w:val="006039FE"/>
    <w:rsid w:val="00631D8C"/>
    <w:rsid w:val="006339A9"/>
    <w:rsid w:val="006370E0"/>
    <w:rsid w:val="0064799A"/>
    <w:rsid w:val="006712DC"/>
    <w:rsid w:val="006B66F0"/>
    <w:rsid w:val="006D22FC"/>
    <w:rsid w:val="006D7E7E"/>
    <w:rsid w:val="00751A23"/>
    <w:rsid w:val="0077506E"/>
    <w:rsid w:val="00782D93"/>
    <w:rsid w:val="007D3C84"/>
    <w:rsid w:val="00825989"/>
    <w:rsid w:val="00843387"/>
    <w:rsid w:val="00847B1D"/>
    <w:rsid w:val="008531F9"/>
    <w:rsid w:val="008617CA"/>
    <w:rsid w:val="00866AFA"/>
    <w:rsid w:val="008A706A"/>
    <w:rsid w:val="008A71CC"/>
    <w:rsid w:val="008C728F"/>
    <w:rsid w:val="008F22F4"/>
    <w:rsid w:val="009076E9"/>
    <w:rsid w:val="00915077"/>
    <w:rsid w:val="00941659"/>
    <w:rsid w:val="009523B5"/>
    <w:rsid w:val="00983611"/>
    <w:rsid w:val="00991FD5"/>
    <w:rsid w:val="009A7313"/>
    <w:rsid w:val="009C2728"/>
    <w:rsid w:val="00A63A3B"/>
    <w:rsid w:val="00A75CA2"/>
    <w:rsid w:val="00A8680B"/>
    <w:rsid w:val="00AB3EB7"/>
    <w:rsid w:val="00AD1E27"/>
    <w:rsid w:val="00AF6C6C"/>
    <w:rsid w:val="00B139D6"/>
    <w:rsid w:val="00B14630"/>
    <w:rsid w:val="00B16800"/>
    <w:rsid w:val="00B23F76"/>
    <w:rsid w:val="00B24D48"/>
    <w:rsid w:val="00B33759"/>
    <w:rsid w:val="00B51897"/>
    <w:rsid w:val="00B84FA6"/>
    <w:rsid w:val="00BA7152"/>
    <w:rsid w:val="00BF3F99"/>
    <w:rsid w:val="00C006F1"/>
    <w:rsid w:val="00C15332"/>
    <w:rsid w:val="00C42C39"/>
    <w:rsid w:val="00C7066D"/>
    <w:rsid w:val="00C74107"/>
    <w:rsid w:val="00C775C3"/>
    <w:rsid w:val="00C95C7A"/>
    <w:rsid w:val="00C976D8"/>
    <w:rsid w:val="00CA0067"/>
    <w:rsid w:val="00D05B25"/>
    <w:rsid w:val="00D62C28"/>
    <w:rsid w:val="00D92FBC"/>
    <w:rsid w:val="00DA6C8D"/>
    <w:rsid w:val="00DC5FEE"/>
    <w:rsid w:val="00DE339F"/>
    <w:rsid w:val="00DF6D9C"/>
    <w:rsid w:val="00E12F43"/>
    <w:rsid w:val="00E37138"/>
    <w:rsid w:val="00E60498"/>
    <w:rsid w:val="00EC2CA5"/>
    <w:rsid w:val="00F102B8"/>
    <w:rsid w:val="00F56844"/>
    <w:rsid w:val="00F74E97"/>
    <w:rsid w:val="00F76BCD"/>
    <w:rsid w:val="00FA7046"/>
    <w:rsid w:val="00FB6DBF"/>
    <w:rsid w:val="00FD17D7"/>
    <w:rsid w:val="01593A97"/>
    <w:rsid w:val="05C03FD8"/>
    <w:rsid w:val="07BA6348"/>
    <w:rsid w:val="12ED7744"/>
    <w:rsid w:val="1373624D"/>
    <w:rsid w:val="1E3E2AA3"/>
    <w:rsid w:val="1E5C5DCD"/>
    <w:rsid w:val="20DF5C94"/>
    <w:rsid w:val="2A1724F5"/>
    <w:rsid w:val="34720AB8"/>
    <w:rsid w:val="35731625"/>
    <w:rsid w:val="35AA55BF"/>
    <w:rsid w:val="37F74CB5"/>
    <w:rsid w:val="3AC5004F"/>
    <w:rsid w:val="3C635F49"/>
    <w:rsid w:val="469775D5"/>
    <w:rsid w:val="53165C7D"/>
    <w:rsid w:val="53E126F6"/>
    <w:rsid w:val="559F6BE7"/>
    <w:rsid w:val="57657F54"/>
    <w:rsid w:val="580467B0"/>
    <w:rsid w:val="5C2B5F72"/>
    <w:rsid w:val="5C2C6E98"/>
    <w:rsid w:val="6AA933EA"/>
    <w:rsid w:val="6B086B35"/>
    <w:rsid w:val="6DB27C17"/>
    <w:rsid w:val="70B04C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askerville Old Face" w:hAnsi="Baskerville Old Face" w:eastAsia="宋体" w:cs="Baskerville Old Face"/>
      <w:kern w:val="2"/>
      <w:sz w:val="21"/>
      <w:szCs w:val="24"/>
      <w:lang w:val="en-US" w:eastAsia="zh-CN" w:bidi="ar-SA"/>
    </w:rPr>
  </w:style>
  <w:style w:type="paragraph" w:styleId="2">
    <w:name w:val="heading 3"/>
    <w:basedOn w:val="1"/>
    <w:next w:val="1"/>
    <w:link w:val="19"/>
    <w:autoRedefine/>
    <w:unhideWhenUsed/>
    <w:qFormat/>
    <w:uiPriority w:val="9"/>
    <w:pPr>
      <w:keepNext/>
      <w:keepLines/>
      <w:spacing w:before="260" w:after="260" w:line="416" w:lineRule="auto"/>
      <w:outlineLvl w:val="2"/>
    </w:pPr>
    <w:rPr>
      <w:b/>
      <w:bCs/>
      <w:sz w:val="32"/>
      <w:szCs w:val="32"/>
    </w:rPr>
  </w:style>
  <w:style w:type="character" w:default="1" w:styleId="8">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3"/>
    <w:autoRedefine/>
    <w:qFormat/>
    <w:uiPriority w:val="0"/>
    <w:pPr>
      <w:ind w:firstLine="10270" w:firstLineChars="1975"/>
    </w:pPr>
    <w:rPr>
      <w:rFonts w:ascii="宋体" w:hAnsi="Times New Roman" w:cs="Times New Roman"/>
      <w:sz w:val="52"/>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rPr>
      <w:rFonts w:ascii="Baskerville Old Face" w:hAnsi="Baskerville Old Face" w:cs="Baskerville Old Fac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autoRedefine/>
    <w:qFormat/>
    <w:uiPriority w:val="0"/>
    <w:rPr>
      <w:rFonts w:ascii="黑体" w:hAnsi="宋体" w:eastAsia="黑体"/>
      <w:sz w:val="28"/>
    </w:rPr>
  </w:style>
  <w:style w:type="character" w:styleId="10">
    <w:name w:val="Emphasis"/>
    <w:autoRedefine/>
    <w:qFormat/>
    <w:uiPriority w:val="0"/>
  </w:style>
  <w:style w:type="character" w:customStyle="1" w:styleId="11">
    <w:name w:val="页眉 Char"/>
    <w:basedOn w:val="8"/>
    <w:link w:val="5"/>
    <w:autoRedefine/>
    <w:qFormat/>
    <w:uiPriority w:val="99"/>
    <w:rPr>
      <w:sz w:val="18"/>
      <w:szCs w:val="18"/>
    </w:rPr>
  </w:style>
  <w:style w:type="character" w:customStyle="1" w:styleId="12">
    <w:name w:val="页脚 Char"/>
    <w:basedOn w:val="8"/>
    <w:link w:val="4"/>
    <w:autoRedefine/>
    <w:qFormat/>
    <w:uiPriority w:val="99"/>
    <w:rPr>
      <w:sz w:val="18"/>
      <w:szCs w:val="18"/>
    </w:rPr>
  </w:style>
  <w:style w:type="character" w:customStyle="1" w:styleId="13">
    <w:name w:val="正文文本缩进 2 Char"/>
    <w:basedOn w:val="8"/>
    <w:link w:val="3"/>
    <w:qFormat/>
    <w:uiPriority w:val="0"/>
    <w:rPr>
      <w:rFonts w:ascii="宋体" w:hAnsi="Times New Roman" w:eastAsia="宋体" w:cs="Times New Roman"/>
      <w:sz w:val="52"/>
      <w:szCs w:val="24"/>
    </w:rPr>
  </w:style>
  <w:style w:type="paragraph" w:styleId="14">
    <w:name w:val="List Paragraph"/>
    <w:basedOn w:val="1"/>
    <w:autoRedefine/>
    <w:qFormat/>
    <w:uiPriority w:val="34"/>
    <w:pPr>
      <w:ind w:firstLine="420" w:firstLineChars="200"/>
    </w:pPr>
  </w:style>
  <w:style w:type="character" w:customStyle="1" w:styleId="15">
    <w:name w:val="?标题3 Char"/>
    <w:link w:val="16"/>
    <w:autoRedefine/>
    <w:qFormat/>
    <w:uiPriority w:val="0"/>
    <w:rPr>
      <w:rFonts w:ascii="宋体" w:hAnsi="宋体"/>
      <w:sz w:val="24"/>
      <w:szCs w:val="24"/>
    </w:rPr>
  </w:style>
  <w:style w:type="paragraph" w:customStyle="1" w:styleId="16">
    <w:name w:val="?标题3"/>
    <w:basedOn w:val="1"/>
    <w:link w:val="15"/>
    <w:autoRedefine/>
    <w:qFormat/>
    <w:uiPriority w:val="0"/>
    <w:pPr>
      <w:numPr>
        <w:ilvl w:val="1"/>
        <w:numId w:val="1"/>
      </w:numPr>
      <w:spacing w:line="360" w:lineRule="auto"/>
      <w:outlineLvl w:val="0"/>
    </w:pPr>
    <w:rPr>
      <w:rFonts w:ascii="宋体" w:hAnsi="宋体" w:eastAsiaTheme="minorEastAsia" w:cstheme="minorBidi"/>
      <w:sz w:val="24"/>
    </w:rPr>
  </w:style>
  <w:style w:type="character" w:customStyle="1" w:styleId="17">
    <w:name w:val="?附录 Char"/>
    <w:link w:val="18"/>
    <w:autoRedefine/>
    <w:qFormat/>
    <w:uiPriority w:val="0"/>
    <w:rPr>
      <w:szCs w:val="24"/>
    </w:rPr>
  </w:style>
  <w:style w:type="paragraph" w:customStyle="1" w:styleId="18">
    <w:name w:val="?附录"/>
    <w:basedOn w:val="1"/>
    <w:next w:val="2"/>
    <w:link w:val="17"/>
    <w:autoRedefine/>
    <w:qFormat/>
    <w:uiPriority w:val="0"/>
    <w:pPr>
      <w:tabs>
        <w:tab w:val="left" w:pos="360"/>
      </w:tabs>
      <w:spacing w:line="360" w:lineRule="auto"/>
    </w:pPr>
    <w:rPr>
      <w:rFonts w:asciiTheme="minorHAnsi" w:hAnsiTheme="minorHAnsi" w:eastAsiaTheme="minorEastAsia" w:cstheme="minorBidi"/>
    </w:rPr>
  </w:style>
  <w:style w:type="character" w:customStyle="1" w:styleId="19">
    <w:name w:val="标题 3 Char"/>
    <w:basedOn w:val="8"/>
    <w:link w:val="2"/>
    <w:autoRedefine/>
    <w:qFormat/>
    <w:uiPriority w:val="9"/>
    <w:rPr>
      <w:rFonts w:ascii="Baskerville Old Face" w:hAnsi="Baskerville Old Face" w:eastAsia="宋体" w:cs="Baskerville Old Face"/>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Users</Company>
  <Pages>4</Pages>
  <Words>2474</Words>
  <Characters>2749</Characters>
  <Lines>20</Lines>
  <Paragraphs>5</Paragraphs>
  <TotalTime>34</TotalTime>
  <ScaleCrop>false</ScaleCrop>
  <LinksUpToDate>false</LinksUpToDate>
  <CharactersWithSpaces>2849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2022-11-07T06:36:00Z</dcterms:created>
  <dc:creator>Administrator</dc:creator>
  <cp:lastModifiedBy>刘广</cp:lastModifiedBy>
  <dcterms:modified xsi:type="dcterms:W3CDTF">2026-02-08T11:06:31Z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D18335A1C1104B45BD3AF88407D0E996</vt:lpwstr>
  </property>
  <property fmtid="{D5CDD505-2E9C-101B-9397-08002B2CF9AE}" pid="4" name="KSOTemplateDocerSaveRecord">
    <vt:lpwstr>eyJoZGlkIjoiMGE0MDc5ZTE2MzUyYWQyNThjNGY1Y2IwYzY3MzVlNmMiLCJ1c2VySWQiOiIzMDg1NTIzMjMifQ==</vt:lpwstr>
  </property>
</Properties>
</file>